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1F8E2" w14:textId="77777777" w:rsidR="00303BE9" w:rsidRPr="00303BE9" w:rsidRDefault="00303BE9" w:rsidP="00303BE9">
      <w:pPr>
        <w:jc w:val="center"/>
        <w:rPr>
          <w:b/>
          <w:bCs/>
          <w:sz w:val="24"/>
          <w:szCs w:val="28"/>
        </w:rPr>
      </w:pPr>
      <w:r w:rsidRPr="00303BE9">
        <w:rPr>
          <w:b/>
          <w:bCs/>
          <w:sz w:val="24"/>
          <w:szCs w:val="28"/>
        </w:rPr>
        <w:t>リスク管理規程</w:t>
      </w:r>
    </w:p>
    <w:p w14:paraId="06F5C7ED" w14:textId="77777777" w:rsidR="00303BE9" w:rsidRPr="00303BE9" w:rsidRDefault="00303BE9" w:rsidP="00303BE9">
      <w:pPr>
        <w:rPr>
          <w:b/>
          <w:bCs/>
        </w:rPr>
      </w:pPr>
      <w:r w:rsidRPr="00303BE9">
        <w:rPr>
          <w:b/>
          <w:bCs/>
        </w:rPr>
        <w:t>第1章 総則</w:t>
      </w:r>
    </w:p>
    <w:p w14:paraId="1E039010" w14:textId="77777777" w:rsidR="00303BE9" w:rsidRPr="00303BE9" w:rsidRDefault="00303BE9" w:rsidP="00303BE9">
      <w:pPr>
        <w:rPr>
          <w:b/>
          <w:bCs/>
        </w:rPr>
      </w:pPr>
      <w:r w:rsidRPr="00303BE9">
        <w:rPr>
          <w:b/>
          <w:bCs/>
        </w:rPr>
        <w:t>第1条 （目的）</w:t>
      </w:r>
    </w:p>
    <w:p w14:paraId="09BA7BCD" w14:textId="44C1F239" w:rsidR="00303BE9" w:rsidRPr="00303BE9" w:rsidRDefault="00303BE9" w:rsidP="00303BE9">
      <w:pPr>
        <w:numPr>
          <w:ilvl w:val="0"/>
          <w:numId w:val="13"/>
        </w:numPr>
      </w:pPr>
      <w:r w:rsidRPr="00303BE9">
        <w:t>本規程は、</w:t>
      </w:r>
      <w:r w:rsidR="005942EE">
        <w:rPr>
          <w:rFonts w:hint="eastAsia"/>
        </w:rPr>
        <w:t>一般社団法人ぞうさん</w:t>
      </w:r>
      <w:r w:rsidRPr="00303BE9">
        <w:t>(以下「会社」という。)におけるリスク管理に関して必要な事項を定め、もってリスクの防止および会社損失の最小化を図ることを目的とする。</w:t>
      </w:r>
    </w:p>
    <w:p w14:paraId="522C0D9C" w14:textId="77777777" w:rsidR="00303BE9" w:rsidRPr="00303BE9" w:rsidRDefault="00303BE9" w:rsidP="00303BE9">
      <w:pPr>
        <w:rPr>
          <w:b/>
          <w:bCs/>
        </w:rPr>
      </w:pPr>
      <w:r w:rsidRPr="00303BE9">
        <w:rPr>
          <w:b/>
          <w:bCs/>
        </w:rPr>
        <w:t>第2条 （適用範囲）</w:t>
      </w:r>
    </w:p>
    <w:p w14:paraId="7F1304F7" w14:textId="77777777" w:rsidR="00303BE9" w:rsidRPr="00303BE9" w:rsidRDefault="00303BE9" w:rsidP="00303BE9">
      <w:pPr>
        <w:numPr>
          <w:ilvl w:val="0"/>
          <w:numId w:val="14"/>
        </w:numPr>
      </w:pPr>
      <w:r w:rsidRPr="00303BE9">
        <w:t>本規程は、会社の役員および従業員(以下「役職員」という。)に適用されるものとする。</w:t>
      </w:r>
    </w:p>
    <w:p w14:paraId="17B27C22" w14:textId="77777777" w:rsidR="00303BE9" w:rsidRPr="00303BE9" w:rsidRDefault="00303BE9" w:rsidP="00303BE9">
      <w:pPr>
        <w:rPr>
          <w:b/>
          <w:bCs/>
        </w:rPr>
      </w:pPr>
      <w:r w:rsidRPr="00303BE9">
        <w:rPr>
          <w:b/>
          <w:bCs/>
        </w:rPr>
        <w:t>第3条 （定義）</w:t>
      </w:r>
    </w:p>
    <w:p w14:paraId="3550D654" w14:textId="705ECF89" w:rsidR="00303BE9" w:rsidRPr="00303BE9" w:rsidRDefault="00303BE9" w:rsidP="00303BE9">
      <w:pPr>
        <w:numPr>
          <w:ilvl w:val="0"/>
          <w:numId w:val="15"/>
        </w:numPr>
      </w:pPr>
      <w:r w:rsidRPr="00303BE9">
        <w:t>本規程において「リスク」とは、会社に物理的、経済的もしくは信用上の損失または不利益を生じさせるすべての可能性を指すものとし、以下の各号に挙げるものを含む。「事故など」とは、リスクが具現化した事象などを指すものとする。尚、コンプライアンスに係るリスク管理は別途「コンプアライアンス規程」に定め</w:t>
      </w:r>
      <w:r w:rsidR="00616D1B">
        <w:rPr>
          <w:rFonts w:hint="eastAsia"/>
        </w:rPr>
        <w:t>る。</w:t>
      </w:r>
    </w:p>
    <w:p w14:paraId="793B3445" w14:textId="77777777" w:rsidR="00303BE9" w:rsidRPr="00303BE9" w:rsidRDefault="00303BE9" w:rsidP="00303BE9">
      <w:pPr>
        <w:numPr>
          <w:ilvl w:val="1"/>
          <w:numId w:val="15"/>
        </w:numPr>
      </w:pPr>
      <w:r w:rsidRPr="00303BE9">
        <w:t>当会社の社会的責任、当会社の取引先、顧客及び一般消費者の信頼を害する事象</w:t>
      </w:r>
    </w:p>
    <w:p w14:paraId="6F514083" w14:textId="77777777" w:rsidR="00303BE9" w:rsidRPr="00303BE9" w:rsidRDefault="00303BE9" w:rsidP="00303BE9">
      <w:pPr>
        <w:numPr>
          <w:ilvl w:val="1"/>
          <w:numId w:val="15"/>
        </w:numPr>
      </w:pPr>
      <w:r w:rsidRPr="00303BE9">
        <w:t>当会社の取引先、顧客情報の安全性を害する事象</w:t>
      </w:r>
    </w:p>
    <w:p w14:paraId="1B24CEC3" w14:textId="77777777" w:rsidR="00303BE9" w:rsidRPr="00303BE9" w:rsidRDefault="00303BE9" w:rsidP="00303BE9">
      <w:pPr>
        <w:numPr>
          <w:ilvl w:val="1"/>
          <w:numId w:val="15"/>
        </w:numPr>
      </w:pPr>
      <w:r w:rsidRPr="00303BE9">
        <w:t>当会社の取引先、顧客及び一般消費者の生命、身体、環境に危険を及ぼす事象</w:t>
      </w:r>
    </w:p>
    <w:p w14:paraId="6E1CDB57" w14:textId="77777777" w:rsidR="00303BE9" w:rsidRPr="00303BE9" w:rsidRDefault="00303BE9" w:rsidP="00303BE9">
      <w:pPr>
        <w:numPr>
          <w:ilvl w:val="0"/>
          <w:numId w:val="15"/>
        </w:numPr>
      </w:pPr>
      <w:r w:rsidRPr="00303BE9">
        <w:t>本規程において「リスク管理」とは、次の各号に挙げるものをいう。</w:t>
      </w:r>
    </w:p>
    <w:p w14:paraId="641783E7" w14:textId="77777777" w:rsidR="00303BE9" w:rsidRPr="00303BE9" w:rsidRDefault="00303BE9" w:rsidP="00303BE9">
      <w:pPr>
        <w:numPr>
          <w:ilvl w:val="1"/>
          <w:numId w:val="15"/>
        </w:numPr>
      </w:pPr>
      <w:r w:rsidRPr="00303BE9">
        <w:t>平常時のリスク管理のための体制整備、関係する施策の策定、実施、改善</w:t>
      </w:r>
    </w:p>
    <w:p w14:paraId="752C12F3" w14:textId="77777777" w:rsidR="00303BE9" w:rsidRPr="00303BE9" w:rsidRDefault="00303BE9" w:rsidP="00303BE9">
      <w:pPr>
        <w:numPr>
          <w:ilvl w:val="1"/>
          <w:numId w:val="15"/>
        </w:numPr>
      </w:pPr>
      <w:r w:rsidRPr="00303BE9">
        <w:t>緊急時のリスク管理の実施及びリスク管理施策の策定・改善</w:t>
      </w:r>
    </w:p>
    <w:p w14:paraId="36DFF2E8" w14:textId="77777777" w:rsidR="00303BE9" w:rsidRPr="00303BE9" w:rsidRDefault="00303BE9" w:rsidP="00303BE9">
      <w:pPr>
        <w:numPr>
          <w:ilvl w:val="0"/>
          <w:numId w:val="15"/>
        </w:numPr>
      </w:pPr>
      <w:r w:rsidRPr="00303BE9">
        <w:t>本規程において「緊急事態」とは、当会社の企業活動に重大な支障、損害を及ぼすリスクが顕在化した状況をいう。</w:t>
      </w:r>
    </w:p>
    <w:p w14:paraId="48768739" w14:textId="77777777" w:rsidR="00303BE9" w:rsidRPr="00303BE9" w:rsidRDefault="00303BE9" w:rsidP="00303BE9">
      <w:pPr>
        <w:rPr>
          <w:b/>
          <w:bCs/>
        </w:rPr>
      </w:pPr>
      <w:r w:rsidRPr="00303BE9">
        <w:rPr>
          <w:b/>
          <w:bCs/>
        </w:rPr>
        <w:t>第4条 （組織）</w:t>
      </w:r>
    </w:p>
    <w:p w14:paraId="062E607D" w14:textId="77777777" w:rsidR="00303BE9" w:rsidRPr="00303BE9" w:rsidRDefault="00303BE9" w:rsidP="00303BE9">
      <w:pPr>
        <w:numPr>
          <w:ilvl w:val="0"/>
          <w:numId w:val="16"/>
        </w:numPr>
      </w:pPr>
      <w:r w:rsidRPr="00303BE9">
        <w:t>リスク管理とコンプライアンスに関する組織体制の確立等のために「リスク・コンプライアンス委員会」(以下「委員会」という)を設置する。委員会の構成員、開催頻度等はコンプライアンス規程に定める。</w:t>
      </w:r>
    </w:p>
    <w:p w14:paraId="3C385987" w14:textId="77777777" w:rsidR="00303BE9" w:rsidRPr="00303BE9" w:rsidRDefault="00303BE9" w:rsidP="00303BE9">
      <w:pPr>
        <w:rPr>
          <w:b/>
          <w:bCs/>
        </w:rPr>
      </w:pPr>
      <w:r w:rsidRPr="00303BE9">
        <w:rPr>
          <w:b/>
          <w:bCs/>
        </w:rPr>
        <w:t>第2章 役職員の責務</w:t>
      </w:r>
    </w:p>
    <w:p w14:paraId="58CF59C5" w14:textId="77777777" w:rsidR="00303BE9" w:rsidRPr="00303BE9" w:rsidRDefault="00303BE9" w:rsidP="00303BE9">
      <w:pPr>
        <w:rPr>
          <w:b/>
          <w:bCs/>
        </w:rPr>
      </w:pPr>
      <w:r w:rsidRPr="00303BE9">
        <w:rPr>
          <w:b/>
          <w:bCs/>
        </w:rPr>
        <w:t>第5条 （基本的責務）</w:t>
      </w:r>
    </w:p>
    <w:p w14:paraId="25B3D095" w14:textId="77777777" w:rsidR="00303BE9" w:rsidRPr="00303BE9" w:rsidRDefault="00303BE9" w:rsidP="00303BE9">
      <w:pPr>
        <w:numPr>
          <w:ilvl w:val="0"/>
          <w:numId w:val="17"/>
        </w:numPr>
      </w:pPr>
      <w:r w:rsidRPr="00303BE9">
        <w:t>役職員は、業務の遂行にあたって、法令、定款および会社の定める規程などリスク管理に関するルールを遵守しなければならない。</w:t>
      </w:r>
    </w:p>
    <w:p w14:paraId="7E559AD3" w14:textId="77777777" w:rsidR="00303BE9" w:rsidRPr="00303BE9" w:rsidRDefault="00303BE9" w:rsidP="00303BE9">
      <w:pPr>
        <w:rPr>
          <w:b/>
          <w:bCs/>
        </w:rPr>
      </w:pPr>
      <w:r w:rsidRPr="00303BE9">
        <w:rPr>
          <w:b/>
          <w:bCs/>
        </w:rPr>
        <w:t>第6条 （リスクに関する措置）</w:t>
      </w:r>
    </w:p>
    <w:p w14:paraId="3521816C" w14:textId="77777777" w:rsidR="00303BE9" w:rsidRPr="00303BE9" w:rsidRDefault="00303BE9" w:rsidP="00303BE9">
      <w:pPr>
        <w:numPr>
          <w:ilvl w:val="0"/>
          <w:numId w:val="18"/>
        </w:numPr>
      </w:pPr>
      <w:r w:rsidRPr="00303BE9">
        <w:t>役職員は、業務上のリスクを積極的に予見し、適切に評価するとともに、会社にとって最小のコストで最良の結果が得られるよう、リスクの回避、軽減および移転そ</w:t>
      </w:r>
      <w:r w:rsidRPr="00303BE9">
        <w:lastRenderedPageBreak/>
        <w:t>の他必要な措置を事前に講じなければならない。</w:t>
      </w:r>
    </w:p>
    <w:p w14:paraId="616ECDF2" w14:textId="77777777" w:rsidR="00303BE9" w:rsidRPr="00303BE9" w:rsidRDefault="00303BE9" w:rsidP="00303BE9">
      <w:pPr>
        <w:numPr>
          <w:ilvl w:val="0"/>
          <w:numId w:val="18"/>
        </w:numPr>
      </w:pPr>
      <w:r w:rsidRPr="00303BE9">
        <w:t>役職員は、業務上の意思決定を求めるにあたっては、決裁者に対し当該業務において予見されるリスクを進んで明らかにするとともに、これを処理するための措置について具申しなければならない。</w:t>
      </w:r>
    </w:p>
    <w:p w14:paraId="72DFA237" w14:textId="77777777" w:rsidR="00303BE9" w:rsidRPr="00303BE9" w:rsidRDefault="00303BE9" w:rsidP="00303BE9">
      <w:pPr>
        <w:rPr>
          <w:b/>
          <w:bCs/>
        </w:rPr>
      </w:pPr>
      <w:r w:rsidRPr="00303BE9">
        <w:rPr>
          <w:b/>
          <w:bCs/>
        </w:rPr>
        <w:t>第7条 （事故など発生時の対応）</w:t>
      </w:r>
    </w:p>
    <w:p w14:paraId="085F0801" w14:textId="77777777" w:rsidR="00303BE9" w:rsidRPr="00303BE9" w:rsidRDefault="00303BE9" w:rsidP="00303BE9">
      <w:pPr>
        <w:numPr>
          <w:ilvl w:val="0"/>
          <w:numId w:val="19"/>
        </w:numPr>
      </w:pPr>
      <w:r w:rsidRPr="00303BE9">
        <w:t>役職員は、事故などが発生した場合には、これに伴い生じる会社の損失または不利益を最小化するため、必要と認められる範囲内の初期対応を十分な注意をもって行う。</w:t>
      </w:r>
    </w:p>
    <w:p w14:paraId="40C2B0C1" w14:textId="77777777" w:rsidR="00303BE9" w:rsidRPr="00303BE9" w:rsidRDefault="00303BE9" w:rsidP="00303BE9">
      <w:pPr>
        <w:numPr>
          <w:ilvl w:val="0"/>
          <w:numId w:val="19"/>
        </w:numPr>
      </w:pPr>
      <w:r w:rsidRPr="00303BE9">
        <w:t>役職員は、事故など発生後速やかに、決裁者に必要な報告をするとともに、その後の処理については関係部署と協議を行い、決裁者の指示に従う。</w:t>
      </w:r>
    </w:p>
    <w:p w14:paraId="0803C444" w14:textId="77777777" w:rsidR="00303BE9" w:rsidRPr="00303BE9" w:rsidRDefault="00303BE9" w:rsidP="00303BE9">
      <w:pPr>
        <w:numPr>
          <w:ilvl w:val="0"/>
          <w:numId w:val="19"/>
        </w:numPr>
      </w:pPr>
      <w:r w:rsidRPr="00303BE9">
        <w:t>役職員は、事故などに起因する新たなリスクに備え、前条の措置を講ずる。</w:t>
      </w:r>
    </w:p>
    <w:p w14:paraId="138D2A9D" w14:textId="77777777" w:rsidR="00303BE9" w:rsidRPr="00303BE9" w:rsidRDefault="00303BE9" w:rsidP="00303BE9">
      <w:pPr>
        <w:rPr>
          <w:b/>
          <w:bCs/>
        </w:rPr>
      </w:pPr>
      <w:r w:rsidRPr="00303BE9">
        <w:rPr>
          <w:b/>
          <w:bCs/>
        </w:rPr>
        <w:t>第8条 （事故など処理後の報告）</w:t>
      </w:r>
    </w:p>
    <w:p w14:paraId="29A88E92" w14:textId="0A5DD98A" w:rsidR="00303BE9" w:rsidRPr="00303BE9" w:rsidRDefault="00303BE9" w:rsidP="00303BE9">
      <w:pPr>
        <w:numPr>
          <w:ilvl w:val="0"/>
          <w:numId w:val="20"/>
        </w:numPr>
      </w:pPr>
      <w:r w:rsidRPr="00303BE9">
        <w:t>役職員は、事故などの処理が完了した場合には、処理の経過および結果について記録を作成し、重大なリスクに関わる事故などに関しては、その処理の経過および結果につい</w:t>
      </w:r>
      <w:r w:rsidR="00733897">
        <w:rPr>
          <w:rFonts w:hint="eastAsia"/>
        </w:rPr>
        <w:t>て</w:t>
      </w:r>
      <w:r w:rsidR="00E53952">
        <w:rPr>
          <w:rFonts w:hint="eastAsia"/>
        </w:rPr>
        <w:t>代表</w:t>
      </w:r>
      <w:r w:rsidR="00733897">
        <w:rPr>
          <w:rFonts w:hint="eastAsia"/>
        </w:rPr>
        <w:t>理事</w:t>
      </w:r>
      <w:r w:rsidRPr="00303BE9">
        <w:t>およびリスク・コンプライアンス委員会に報告しなければならない。</w:t>
      </w:r>
    </w:p>
    <w:p w14:paraId="42724018" w14:textId="77777777" w:rsidR="00303BE9" w:rsidRPr="00303BE9" w:rsidRDefault="00303BE9" w:rsidP="00303BE9">
      <w:pPr>
        <w:rPr>
          <w:b/>
          <w:bCs/>
        </w:rPr>
      </w:pPr>
      <w:r w:rsidRPr="00303BE9">
        <w:rPr>
          <w:b/>
          <w:bCs/>
        </w:rPr>
        <w:t>第9条 （クレームなどへの対応）</w:t>
      </w:r>
    </w:p>
    <w:p w14:paraId="3411B661" w14:textId="77777777" w:rsidR="00303BE9" w:rsidRPr="00303BE9" w:rsidRDefault="00303BE9" w:rsidP="00303BE9">
      <w:pPr>
        <w:numPr>
          <w:ilvl w:val="0"/>
          <w:numId w:val="21"/>
        </w:numPr>
      </w:pPr>
      <w:r w:rsidRPr="00303BE9">
        <w:t>役職員は、口頭または文書により取引先・顧客などからクレーム・異議などを受けた場合には、それらが重大なリスクにつながるおそれがあることを意識し、直ちに決裁者に報告し、指示を受ける。</w:t>
      </w:r>
    </w:p>
    <w:p w14:paraId="268E8307" w14:textId="77777777" w:rsidR="00303BE9" w:rsidRPr="00303BE9" w:rsidRDefault="00303BE9" w:rsidP="00303BE9">
      <w:pPr>
        <w:numPr>
          <w:ilvl w:val="0"/>
          <w:numId w:val="21"/>
        </w:numPr>
      </w:pPr>
      <w:r w:rsidRPr="00303BE9">
        <w:t>決裁者は、クレーム・異議などの重要度を判断し、関係部と協議のうえ、対応しなければならない。</w:t>
      </w:r>
    </w:p>
    <w:p w14:paraId="44456A93" w14:textId="77777777" w:rsidR="00303BE9" w:rsidRPr="00303BE9" w:rsidRDefault="00303BE9" w:rsidP="00303BE9">
      <w:pPr>
        <w:rPr>
          <w:b/>
          <w:bCs/>
        </w:rPr>
      </w:pPr>
      <w:r w:rsidRPr="00303BE9">
        <w:rPr>
          <w:b/>
          <w:bCs/>
        </w:rPr>
        <w:t>第10条 （守秘義務）</w:t>
      </w:r>
    </w:p>
    <w:p w14:paraId="36166ABC" w14:textId="77777777" w:rsidR="00303BE9" w:rsidRPr="00303BE9" w:rsidRDefault="00303BE9" w:rsidP="00303BE9">
      <w:pPr>
        <w:numPr>
          <w:ilvl w:val="0"/>
          <w:numId w:val="22"/>
        </w:numPr>
      </w:pPr>
      <w:r w:rsidRPr="00303BE9">
        <w:t>役職員は、本規程に基づく会社のリスク管理に関する計画・システム・措置など、 ならびにこれらを立案・実施する過程において、知り得た会社およびその他の関係 者に関する秘密については、社内外を問わず漏えいしてはならない。</w:t>
      </w:r>
    </w:p>
    <w:p w14:paraId="15098644" w14:textId="77777777" w:rsidR="00303BE9" w:rsidRPr="00303BE9" w:rsidRDefault="00303BE9" w:rsidP="00303BE9">
      <w:pPr>
        <w:rPr>
          <w:b/>
          <w:bCs/>
        </w:rPr>
      </w:pPr>
      <w:r w:rsidRPr="00303BE9">
        <w:rPr>
          <w:b/>
          <w:bCs/>
        </w:rPr>
        <w:t>第3章 その他</w:t>
      </w:r>
    </w:p>
    <w:p w14:paraId="29709B9F" w14:textId="77777777" w:rsidR="00303BE9" w:rsidRPr="00303BE9" w:rsidRDefault="00303BE9" w:rsidP="00303BE9">
      <w:pPr>
        <w:rPr>
          <w:b/>
          <w:bCs/>
        </w:rPr>
      </w:pPr>
      <w:r w:rsidRPr="00303BE9">
        <w:rPr>
          <w:b/>
          <w:bCs/>
        </w:rPr>
        <w:t>第11条 （緊急事態への対応）</w:t>
      </w:r>
    </w:p>
    <w:p w14:paraId="600EF016" w14:textId="7FD30C11" w:rsidR="00303BE9" w:rsidRPr="00303BE9" w:rsidRDefault="00303BE9" w:rsidP="00303BE9">
      <w:pPr>
        <w:numPr>
          <w:ilvl w:val="0"/>
          <w:numId w:val="23"/>
        </w:numPr>
      </w:pPr>
      <w:r w:rsidRPr="00303BE9">
        <w:t>大地震などの突発的なリスクが発生し、全社的な対応が重要である場合(以下「緊急事態」という。)は、</w:t>
      </w:r>
      <w:r w:rsidR="00E53952">
        <w:rPr>
          <w:rFonts w:hint="eastAsia"/>
        </w:rPr>
        <w:t>代表</w:t>
      </w:r>
      <w:r w:rsidR="008F2428">
        <w:rPr>
          <w:rFonts w:hint="eastAsia"/>
        </w:rPr>
        <w:t>理事</w:t>
      </w:r>
      <w:r w:rsidRPr="00303BE9">
        <w:t>をリスク管理統括責任者とする緊急事態対応体制をとるものとする。</w:t>
      </w:r>
    </w:p>
    <w:p w14:paraId="381D6737" w14:textId="77777777" w:rsidR="00303BE9" w:rsidRPr="00303BE9" w:rsidRDefault="00303BE9" w:rsidP="00303BE9">
      <w:pPr>
        <w:rPr>
          <w:b/>
          <w:bCs/>
        </w:rPr>
      </w:pPr>
      <w:r w:rsidRPr="00303BE9">
        <w:rPr>
          <w:b/>
          <w:bCs/>
        </w:rPr>
        <w:t>第12条 （規程の改廃）</w:t>
      </w:r>
    </w:p>
    <w:p w14:paraId="5B0D800C" w14:textId="77777777" w:rsidR="00303BE9" w:rsidRDefault="00303BE9" w:rsidP="00303BE9">
      <w:pPr>
        <w:numPr>
          <w:ilvl w:val="0"/>
          <w:numId w:val="24"/>
        </w:numPr>
      </w:pPr>
      <w:r w:rsidRPr="00303BE9">
        <w:t>本規程の改廃は、「規程管理規程」の手続き、および取締役会決議による。</w:t>
      </w:r>
    </w:p>
    <w:p w14:paraId="310D3CE9" w14:textId="77777777" w:rsidR="00646C49" w:rsidRDefault="00646C49" w:rsidP="00646C49"/>
    <w:p w14:paraId="44445794" w14:textId="77777777" w:rsidR="00646C49" w:rsidRDefault="00646C49" w:rsidP="00646C49">
      <w:r>
        <w:rPr>
          <w:rFonts w:hint="eastAsia"/>
        </w:rPr>
        <w:t>附則</w:t>
      </w:r>
    </w:p>
    <w:p w14:paraId="5AD4F194" w14:textId="02EF8E54" w:rsidR="001F0ADA" w:rsidRPr="00303BE9" w:rsidRDefault="00646C49" w:rsidP="00303BE9">
      <w:pPr>
        <w:rPr>
          <w:rFonts w:hint="eastAsia"/>
        </w:rPr>
      </w:pPr>
      <w:r>
        <w:rPr>
          <w:rFonts w:hint="eastAsia"/>
        </w:rPr>
        <w:t>この規程は、</w:t>
      </w:r>
      <w:r>
        <w:t>2024年5月27日より施行する。</w:t>
      </w:r>
    </w:p>
    <w:sectPr w:rsidR="001F0ADA" w:rsidRPr="00303BE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59BE"/>
    <w:multiLevelType w:val="multilevel"/>
    <w:tmpl w:val="154C6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294F39"/>
    <w:multiLevelType w:val="multilevel"/>
    <w:tmpl w:val="08561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CD30BA"/>
    <w:multiLevelType w:val="multilevel"/>
    <w:tmpl w:val="0F523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9267E6"/>
    <w:multiLevelType w:val="multilevel"/>
    <w:tmpl w:val="79A42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586EE1"/>
    <w:multiLevelType w:val="multilevel"/>
    <w:tmpl w:val="DDBC1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B6683E"/>
    <w:multiLevelType w:val="multilevel"/>
    <w:tmpl w:val="ADA2C96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4D2DF0"/>
    <w:multiLevelType w:val="multilevel"/>
    <w:tmpl w:val="24868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2D611F"/>
    <w:multiLevelType w:val="multilevel"/>
    <w:tmpl w:val="4DB23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135CE1"/>
    <w:multiLevelType w:val="multilevel"/>
    <w:tmpl w:val="E9308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3D5E94"/>
    <w:multiLevelType w:val="multilevel"/>
    <w:tmpl w:val="3F96E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EF4E23"/>
    <w:multiLevelType w:val="multilevel"/>
    <w:tmpl w:val="BCA0C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FF1E09"/>
    <w:multiLevelType w:val="multilevel"/>
    <w:tmpl w:val="D9C2A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750032"/>
    <w:multiLevelType w:val="multilevel"/>
    <w:tmpl w:val="3DC0420E"/>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B64470"/>
    <w:multiLevelType w:val="multilevel"/>
    <w:tmpl w:val="9B048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617BE7"/>
    <w:multiLevelType w:val="multilevel"/>
    <w:tmpl w:val="1B46B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2F6581"/>
    <w:multiLevelType w:val="multilevel"/>
    <w:tmpl w:val="C4523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6F6FF9"/>
    <w:multiLevelType w:val="multilevel"/>
    <w:tmpl w:val="F946A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1A05BB"/>
    <w:multiLevelType w:val="multilevel"/>
    <w:tmpl w:val="30C66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B07925"/>
    <w:multiLevelType w:val="multilevel"/>
    <w:tmpl w:val="C0948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4D6C8F"/>
    <w:multiLevelType w:val="multilevel"/>
    <w:tmpl w:val="02025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615F1F"/>
    <w:multiLevelType w:val="multilevel"/>
    <w:tmpl w:val="DE10A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6D34A6"/>
    <w:multiLevelType w:val="multilevel"/>
    <w:tmpl w:val="F1B07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9B6C4D"/>
    <w:multiLevelType w:val="multilevel"/>
    <w:tmpl w:val="3AE8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4F6102"/>
    <w:multiLevelType w:val="multilevel"/>
    <w:tmpl w:val="8FDA2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0812333">
    <w:abstractNumId w:val="13"/>
  </w:num>
  <w:num w:numId="2" w16cid:durableId="635113110">
    <w:abstractNumId w:val="3"/>
  </w:num>
  <w:num w:numId="3" w16cid:durableId="1250190427">
    <w:abstractNumId w:val="12"/>
  </w:num>
  <w:num w:numId="4" w16cid:durableId="1256524184">
    <w:abstractNumId w:val="8"/>
  </w:num>
  <w:num w:numId="5" w16cid:durableId="1519387267">
    <w:abstractNumId w:val="11"/>
  </w:num>
  <w:num w:numId="6" w16cid:durableId="1980205">
    <w:abstractNumId w:val="4"/>
  </w:num>
  <w:num w:numId="7" w16cid:durableId="1671327711">
    <w:abstractNumId w:val="19"/>
  </w:num>
  <w:num w:numId="8" w16cid:durableId="1217163274">
    <w:abstractNumId w:val="0"/>
  </w:num>
  <w:num w:numId="9" w16cid:durableId="1640918252">
    <w:abstractNumId w:val="1"/>
  </w:num>
  <w:num w:numId="10" w16cid:durableId="607930725">
    <w:abstractNumId w:val="17"/>
  </w:num>
  <w:num w:numId="11" w16cid:durableId="1051731024">
    <w:abstractNumId w:val="16"/>
  </w:num>
  <w:num w:numId="12" w16cid:durableId="1371613418">
    <w:abstractNumId w:val="14"/>
  </w:num>
  <w:num w:numId="13" w16cid:durableId="405539643">
    <w:abstractNumId w:val="6"/>
  </w:num>
  <w:num w:numId="14" w16cid:durableId="26688429">
    <w:abstractNumId w:val="21"/>
  </w:num>
  <w:num w:numId="15" w16cid:durableId="1965891255">
    <w:abstractNumId w:val="5"/>
  </w:num>
  <w:num w:numId="16" w16cid:durableId="830414625">
    <w:abstractNumId w:val="2"/>
  </w:num>
  <w:num w:numId="17" w16cid:durableId="1863276339">
    <w:abstractNumId w:val="20"/>
  </w:num>
  <w:num w:numId="18" w16cid:durableId="860438437">
    <w:abstractNumId w:val="22"/>
  </w:num>
  <w:num w:numId="19" w16cid:durableId="1718164057">
    <w:abstractNumId w:val="18"/>
  </w:num>
  <w:num w:numId="20" w16cid:durableId="1630430142">
    <w:abstractNumId w:val="23"/>
  </w:num>
  <w:num w:numId="21" w16cid:durableId="193469719">
    <w:abstractNumId w:val="7"/>
  </w:num>
  <w:num w:numId="22" w16cid:durableId="2035299699">
    <w:abstractNumId w:val="9"/>
  </w:num>
  <w:num w:numId="23" w16cid:durableId="838888500">
    <w:abstractNumId w:val="10"/>
  </w:num>
  <w:num w:numId="24" w16cid:durableId="6097082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BE9"/>
    <w:rsid w:val="0005367D"/>
    <w:rsid w:val="001F0ADA"/>
    <w:rsid w:val="00303BE9"/>
    <w:rsid w:val="00495E9C"/>
    <w:rsid w:val="005942EE"/>
    <w:rsid w:val="005B4143"/>
    <w:rsid w:val="00616D1B"/>
    <w:rsid w:val="00623528"/>
    <w:rsid w:val="00646C49"/>
    <w:rsid w:val="00733897"/>
    <w:rsid w:val="008F2428"/>
    <w:rsid w:val="00A6282E"/>
    <w:rsid w:val="00B54D81"/>
    <w:rsid w:val="00E53952"/>
    <w:rsid w:val="00EC2466"/>
    <w:rsid w:val="00ED39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562BE3"/>
  <w15:chartTrackingRefBased/>
  <w15:docId w15:val="{77F1CF80-8F7F-4F33-B509-A263F95F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03BE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303BE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03BE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unhideWhenUsed/>
    <w:qFormat/>
    <w:rsid w:val="00303BE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03BE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03BE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03BE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03BE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03BE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3BE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303BE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03BE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rsid w:val="00303BE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03BE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03BE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03BE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03BE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03BE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03BE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03B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3BE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03B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3BE9"/>
    <w:pPr>
      <w:spacing w:before="160" w:after="160"/>
      <w:jc w:val="center"/>
    </w:pPr>
    <w:rPr>
      <w:i/>
      <w:iCs/>
      <w:color w:val="404040" w:themeColor="text1" w:themeTint="BF"/>
    </w:rPr>
  </w:style>
  <w:style w:type="character" w:customStyle="1" w:styleId="a8">
    <w:name w:val="引用文 (文字)"/>
    <w:basedOn w:val="a0"/>
    <w:link w:val="a7"/>
    <w:uiPriority w:val="29"/>
    <w:rsid w:val="00303BE9"/>
    <w:rPr>
      <w:i/>
      <w:iCs/>
      <w:color w:val="404040" w:themeColor="text1" w:themeTint="BF"/>
    </w:rPr>
  </w:style>
  <w:style w:type="paragraph" w:styleId="a9">
    <w:name w:val="List Paragraph"/>
    <w:basedOn w:val="a"/>
    <w:uiPriority w:val="34"/>
    <w:qFormat/>
    <w:rsid w:val="00303BE9"/>
    <w:pPr>
      <w:ind w:left="720"/>
      <w:contextualSpacing/>
    </w:pPr>
  </w:style>
  <w:style w:type="character" w:styleId="21">
    <w:name w:val="Intense Emphasis"/>
    <w:basedOn w:val="a0"/>
    <w:uiPriority w:val="21"/>
    <w:qFormat/>
    <w:rsid w:val="00303BE9"/>
    <w:rPr>
      <w:i/>
      <w:iCs/>
      <w:color w:val="0F4761" w:themeColor="accent1" w:themeShade="BF"/>
    </w:rPr>
  </w:style>
  <w:style w:type="paragraph" w:styleId="22">
    <w:name w:val="Intense Quote"/>
    <w:basedOn w:val="a"/>
    <w:next w:val="a"/>
    <w:link w:val="23"/>
    <w:uiPriority w:val="30"/>
    <w:qFormat/>
    <w:rsid w:val="00303B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03BE9"/>
    <w:rPr>
      <w:i/>
      <w:iCs/>
      <w:color w:val="0F4761" w:themeColor="accent1" w:themeShade="BF"/>
    </w:rPr>
  </w:style>
  <w:style w:type="character" w:styleId="24">
    <w:name w:val="Intense Reference"/>
    <w:basedOn w:val="a0"/>
    <w:uiPriority w:val="32"/>
    <w:qFormat/>
    <w:rsid w:val="00303B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549694">
      <w:bodyDiv w:val="1"/>
      <w:marLeft w:val="0"/>
      <w:marRight w:val="0"/>
      <w:marTop w:val="0"/>
      <w:marBottom w:val="0"/>
      <w:divBdr>
        <w:top w:val="none" w:sz="0" w:space="0" w:color="auto"/>
        <w:left w:val="none" w:sz="0" w:space="0" w:color="auto"/>
        <w:bottom w:val="none" w:sz="0" w:space="0" w:color="auto"/>
        <w:right w:val="none" w:sz="0" w:space="0" w:color="auto"/>
      </w:divBdr>
    </w:div>
    <w:div w:id="131217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258</Words>
  <Characters>1476</Characters>
  <Application>Microsoft Office Word</Application>
  <DocSecurity>0</DocSecurity>
  <Lines>12</Lines>
  <Paragraphs>3</Paragraphs>
  <ScaleCrop>false</ScaleCrop>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篤史 小林</dc:creator>
  <cp:keywords/>
  <dc:description/>
  <cp:lastModifiedBy>勇樹 岩間</cp:lastModifiedBy>
  <cp:revision>9</cp:revision>
  <dcterms:created xsi:type="dcterms:W3CDTF">2024-08-15T16:15:00Z</dcterms:created>
  <dcterms:modified xsi:type="dcterms:W3CDTF">2025-02-19T07:15:00Z</dcterms:modified>
</cp:coreProperties>
</file>